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  <w:r>
              <w:t>Šilalės švietimo pagalbos tarnyba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153965">
            <w:pPr>
              <w:jc w:val="both"/>
            </w:pPr>
            <w:r w:rsidRPr="00A22185">
              <w:t xml:space="preserve">8-449 </w:t>
            </w:r>
            <w:r>
              <w:rPr>
                <w:color w:val="000000"/>
              </w:rPr>
              <w:t>700 88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A22185" w:rsidRDefault="002A614C" w:rsidP="00153965">
            <w:pPr>
              <w:spacing w:line="480" w:lineRule="auto"/>
              <w:jc w:val="both"/>
            </w:pPr>
            <w:hyperlink r:id="rId6" w:history="1">
              <w:r w:rsidR="00153965" w:rsidRPr="00C95761">
                <w:rPr>
                  <w:rStyle w:val="Hipersaitas"/>
                  <w:rFonts w:ascii="Arial" w:hAnsi="Arial" w:cs="Arial"/>
                  <w:sz w:val="19"/>
                  <w:szCs w:val="19"/>
                </w:rPr>
                <w:t>silsviet@takas.lt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413D70" w:rsidP="00516916">
            <w:pPr>
              <w:jc w:val="both"/>
            </w:pPr>
            <w:r w:rsidRPr="00413D70">
              <w:t>,,Vaikų ir paauglių intelektinių gebėjimų vertinimas“.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Pranešimas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413D70" w:rsidP="00346900">
            <w:pPr>
              <w:jc w:val="both"/>
            </w:pPr>
            <w:r>
              <w:t xml:space="preserve">Viktorija </w:t>
            </w:r>
            <w:proofErr w:type="spellStart"/>
            <w:r>
              <w:t>Kvietkuvienė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413D70" w:rsidP="00346900">
            <w:pPr>
              <w:jc w:val="both"/>
            </w:pPr>
            <w:r>
              <w:t>Psichologė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413D70" w:rsidP="000B66F2">
            <w:pPr>
              <w:ind w:left="5"/>
              <w:jc w:val="both"/>
            </w:pPr>
            <w:r w:rsidRPr="00413D70">
              <w:t xml:space="preserve">Šilalės švietimo pagalbos tarnybos psichologė V. </w:t>
            </w:r>
            <w:proofErr w:type="spellStart"/>
            <w:r w:rsidRPr="00413D70">
              <w:t>Kvietkuvienė</w:t>
            </w:r>
            <w:proofErr w:type="spellEnd"/>
            <w:r w:rsidRPr="00413D70">
              <w:t>, kuri pristatė ir papasakojo, kaip atliekamas vaikų ir paauglių intelektinių gebėjimų vertinimas.</w:t>
            </w:r>
            <w:r>
              <w:t xml:space="preserve"> I</w:t>
            </w:r>
            <w:r w:rsidRPr="00413D70">
              <w:t>ntelekto tyrimas yra reikalingas, norint patikrinti vaiko pasirengimą mokyklai, siekiant nustatyti mokymosi sunkumų priežastis, įvertinti vaiko protinės raidos ypatumus, jo individualius gabumus.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413D70" w:rsidP="00346900">
            <w:pPr>
              <w:jc w:val="both"/>
            </w:pPr>
            <w:r>
              <w:t>2016 03 15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6F12"/>
    <w:multiLevelType w:val="hybridMultilevel"/>
    <w:tmpl w:val="3FE6C39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0762C"/>
    <w:multiLevelType w:val="hybridMultilevel"/>
    <w:tmpl w:val="CE588EE2"/>
    <w:lvl w:ilvl="0" w:tplc="DDC0A4DA">
      <w:start w:val="1"/>
      <w:numFmt w:val="upperLetter"/>
      <w:lvlText w:val="%1."/>
      <w:lvlJc w:val="left"/>
      <w:pPr>
        <w:ind w:left="3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5" w:hanging="360"/>
      </w:pPr>
    </w:lvl>
    <w:lvl w:ilvl="2" w:tplc="0427001B" w:tentative="1">
      <w:start w:val="1"/>
      <w:numFmt w:val="lowerRoman"/>
      <w:lvlText w:val="%3."/>
      <w:lvlJc w:val="right"/>
      <w:pPr>
        <w:ind w:left="1805" w:hanging="180"/>
      </w:pPr>
    </w:lvl>
    <w:lvl w:ilvl="3" w:tplc="0427000F" w:tentative="1">
      <w:start w:val="1"/>
      <w:numFmt w:val="decimal"/>
      <w:lvlText w:val="%4."/>
      <w:lvlJc w:val="left"/>
      <w:pPr>
        <w:ind w:left="2525" w:hanging="360"/>
      </w:pPr>
    </w:lvl>
    <w:lvl w:ilvl="4" w:tplc="04270019" w:tentative="1">
      <w:start w:val="1"/>
      <w:numFmt w:val="lowerLetter"/>
      <w:lvlText w:val="%5."/>
      <w:lvlJc w:val="left"/>
      <w:pPr>
        <w:ind w:left="3245" w:hanging="360"/>
      </w:pPr>
    </w:lvl>
    <w:lvl w:ilvl="5" w:tplc="0427001B" w:tentative="1">
      <w:start w:val="1"/>
      <w:numFmt w:val="lowerRoman"/>
      <w:lvlText w:val="%6."/>
      <w:lvlJc w:val="right"/>
      <w:pPr>
        <w:ind w:left="3965" w:hanging="180"/>
      </w:pPr>
    </w:lvl>
    <w:lvl w:ilvl="6" w:tplc="0427000F" w:tentative="1">
      <w:start w:val="1"/>
      <w:numFmt w:val="decimal"/>
      <w:lvlText w:val="%7."/>
      <w:lvlJc w:val="left"/>
      <w:pPr>
        <w:ind w:left="4685" w:hanging="360"/>
      </w:pPr>
    </w:lvl>
    <w:lvl w:ilvl="7" w:tplc="04270019" w:tentative="1">
      <w:start w:val="1"/>
      <w:numFmt w:val="lowerLetter"/>
      <w:lvlText w:val="%8."/>
      <w:lvlJc w:val="left"/>
      <w:pPr>
        <w:ind w:left="5405" w:hanging="360"/>
      </w:pPr>
    </w:lvl>
    <w:lvl w:ilvl="8" w:tplc="0427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0B66F2"/>
    <w:rsid w:val="00153965"/>
    <w:rsid w:val="002A614C"/>
    <w:rsid w:val="00413D70"/>
    <w:rsid w:val="00516916"/>
    <w:rsid w:val="00D47F14"/>
    <w:rsid w:val="00ED0BC7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B66F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614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614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B66F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614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614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sviet@tak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cp:lastPrinted>2016-03-24T09:45:00Z</cp:lastPrinted>
  <dcterms:created xsi:type="dcterms:W3CDTF">2016-03-24T09:45:00Z</dcterms:created>
  <dcterms:modified xsi:type="dcterms:W3CDTF">2016-03-24T09:45:00Z</dcterms:modified>
</cp:coreProperties>
</file>